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B91" w:rsidRDefault="00787CA0">
      <w:pPr>
        <w:ind w:left="5664" w:firstLine="708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</w:rPr>
        <w:t>Приложение № 17</w:t>
      </w:r>
    </w:p>
    <w:p w:rsidR="00D74B91" w:rsidRDefault="00787CA0">
      <w:pPr>
        <w:ind w:left="5664" w:firstLine="708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к Единой заявке: ПУД</w:t>
      </w:r>
    </w:p>
    <w:p w:rsidR="00D74B91" w:rsidRDefault="00D74B91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4B91" w:rsidRDefault="00D74B91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4B91" w:rsidRDefault="00787CA0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Информация о полномочиях, назначаемых в Подсистеме обеспечения информационной безопасности Системы обеспечения безопасности информации Федерального казначейства (ПОИБ СОБИ ФК), для работы в подсистеме управления доходами государственной интегрированной информационной системы управления общественными финансами «Электронный бюджет» (ПУД)</w:t>
      </w:r>
    </w:p>
    <w:p w:rsidR="00D74B91" w:rsidRDefault="00787CA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934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3937"/>
        <w:gridCol w:w="1418"/>
        <w:gridCol w:w="3252"/>
      </w:tblGrid>
      <w:tr w:rsidR="00D74B91">
        <w:trPr>
          <w:trHeight w:val="948"/>
          <w:tblHeader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№ п/п</w:t>
            </w:r>
          </w:p>
        </w:tc>
        <w:tc>
          <w:tcPr>
            <w:tcW w:w="5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Описание полномочия для доступа к функции ПУД Системы Электронный бюджет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роли доступа в ПОИБ СОБИ ФК</w:t>
            </w:r>
          </w:p>
        </w:tc>
      </w:tr>
      <w:tr w:rsidR="00D74B91">
        <w:trPr>
          <w:trHeight w:val="916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Для Администраторов доходов бюджета (АДБ)</w:t>
            </w:r>
          </w:p>
        </w:tc>
      </w:tr>
      <w:tr w:rsidR="00D74B91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Формирование документов для осуществления операций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ПУД_001 ЛК АДБ. Ввод данных</w:t>
            </w:r>
          </w:p>
        </w:tc>
      </w:tr>
      <w:tr w:rsidR="00D74B91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Согласование документов для осуществления операций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Согласование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ПУД_002 ЛК АДБ. Согласование данных</w:t>
            </w:r>
          </w:p>
        </w:tc>
      </w:tr>
      <w:tr w:rsidR="00D74B91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Утверждение документов (Руководитель, уполномоченное лицо) для осуществления операций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Утверждение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ПУД_003 ЛК АДБ. Утверждение Руководитель (уполномоченное лицо)</w:t>
            </w:r>
          </w:p>
        </w:tc>
      </w:tr>
      <w:tr w:rsidR="00D74B91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Утверждение документов (Главный бухгалтер уполномоченное лицо) для осуществления операций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Утверждение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ПУД_004 ЛК АДБ. Утверждение Главный бухгалтер (уполномоченное лицо)</w:t>
            </w:r>
          </w:p>
        </w:tc>
      </w:tr>
      <w:tr w:rsidR="00D74B91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всех данных по операциям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ПУД_005 ЛК АДБ. Просмотр данных</w:t>
            </w:r>
          </w:p>
        </w:tc>
      </w:tr>
      <w:tr w:rsidR="00D74B91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Назначение замещающих сотрудников для осуществления операций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Просмотр,</w:t>
            </w:r>
          </w:p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ПУД_007 ЛК АДБ. Назначение замещающих</w:t>
            </w:r>
          </w:p>
        </w:tc>
      </w:tr>
      <w:tr w:rsidR="00D74B91">
        <w:trPr>
          <w:trHeight w:val="693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br w:type="page" w:clear="all"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Для Финансовых органов</w:t>
            </w:r>
          </w:p>
        </w:tc>
      </w:tr>
      <w:tr w:rsidR="00D74B91">
        <w:trPr>
          <w:trHeight w:val="760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отчетов ФО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ПУД_203 Работа с документами ФО</w:t>
            </w:r>
          </w:p>
        </w:tc>
      </w:tr>
      <w:tr w:rsidR="00D74B91">
        <w:trPr>
          <w:trHeight w:val="760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отчетов АДБ Уполномоченным органом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ПУД_208. ЛС АДБ для Уполномоченного органа*</w:t>
            </w:r>
          </w:p>
        </w:tc>
      </w:tr>
      <w:tr w:rsidR="00D74B91">
        <w:trPr>
          <w:trHeight w:val="665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Для Главных администраторов доходов бюджета</w:t>
            </w:r>
          </w:p>
        </w:tc>
      </w:tr>
      <w:tr w:rsidR="00D74B91">
        <w:trPr>
          <w:trHeight w:val="760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отчетов ГАДБ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ПУД_204 ЛК ГАДБ. Просмотр данных</w:t>
            </w:r>
          </w:p>
        </w:tc>
      </w:tr>
    </w:tbl>
    <w:p w:rsidR="00D74B91" w:rsidRDefault="00787CA0">
      <w:r>
        <w:br w:type="page" w:clear="all"/>
      </w:r>
    </w:p>
    <w:tbl>
      <w:tblPr>
        <w:tblW w:w="934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3937"/>
        <w:gridCol w:w="1418"/>
        <w:gridCol w:w="3252"/>
      </w:tblGrid>
      <w:tr w:rsidR="00D74B91">
        <w:trPr>
          <w:trHeight w:val="1174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Для Территориальных органов Федерального казначейства (ТОФК),</w:t>
            </w:r>
          </w:p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Межрегионального операционного управления Федерального казначейства,</w:t>
            </w:r>
          </w:p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ФКУ «ЦОКР»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Обработка документов АДБ, ФО, ТОФК, просмотр справочников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ПУД_101 ЛК ТОФК. Работа с документами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Согласование документов АДБ, ФО, ТОФК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Согласование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ПУД_102 ЛК ТОФК. Согласование данных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Утверждение документов (Руководитель, уполномоченное лицо) АДБ, ФО, ТОФК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Утверждение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ПУД_103 ЛК ТОФК. Утверждение данных Руководитель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3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Утверждение документов (Главный бухгалтер уполномоченное лицо) АДБ, ФО, ТОФК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Утверждение</w:t>
            </w:r>
          </w:p>
        </w:tc>
        <w:tc>
          <w:tcPr>
            <w:tcW w:w="3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ПУД_104 ЛК ТОФК. Утверждение данных Главный бухгалтер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 централизованными и локальными справочниками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ПУД_105 ЛК ТОФК. Работа со справочниками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 выпиской по КС, классификация, учет и распределение поступлений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ПУД_106 ЛК ТОФК. Работа с Выпиской по КС</w:t>
            </w:r>
          </w:p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ПУД_107 ЛК ТОФК. Распределение и перерасчет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Формирование отчетов по операциям для АДБ, ФО, ГАДБ, ТОФК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ПУД_108 ЛК ТОФК. Работа с отчетами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документов АДБ, ФО, ТОФК, просмотр справочников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ПУД_109 ЛК ТОФК. Просмотр данных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Техническая поддержка ТОФК (ОТО/ОИС)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ПУД_110 ЛК ТОФК. Администратор технической поддержки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Сопровождение/консультация АДБ, ФО, ГАДБ сотрудником ТОФК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ПУД_111 ЛК ТОФК. Сопровождение АДБ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Управление операционным днем (закрытие ОД ТОФК)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ПУД_112 ЛК ТОФК. Управление ОД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Назначение замещающих для осуществления операций ТОФК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Просмотр,</w:t>
            </w:r>
          </w:p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ПУД_113 ЛК ТОФК. Назначение замещающих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Выполнений регламентированных функций по операциям ТОФК по иным казначейским счетам (ОР, ОКОИБ, ОБУИО)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ПУД_114 ЛК ТОФК. Иные функции</w:t>
            </w:r>
          </w:p>
        </w:tc>
      </w:tr>
      <w:tr w:rsidR="00D74B91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Для Межрегионального операционного управления Федерального казначейства</w:t>
            </w:r>
          </w:p>
        </w:tc>
      </w:tr>
      <w:tr w:rsidR="00D74B91">
        <w:trPr>
          <w:trHeight w:val="100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 централизованными и локальными справочниками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ПУД_205 ЛК МОУ. Администратор справочников</w:t>
            </w:r>
          </w:p>
        </w:tc>
      </w:tr>
      <w:tr w:rsidR="00D74B91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Для Управления Федерального казначейства по Свердловской области, </w:t>
            </w:r>
          </w:p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уполномоченного на работу с операционными днями ПУД</w:t>
            </w:r>
          </w:p>
        </w:tc>
      </w:tr>
      <w:tr w:rsidR="00D74B91">
        <w:trPr>
          <w:trHeight w:val="100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Управление операционным днем ПУД (открытие, закрытие ОД ПУД, открытие ОД ТОФК)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ПУД_206. Управление ОД системы</w:t>
            </w:r>
          </w:p>
        </w:tc>
      </w:tr>
      <w:tr w:rsidR="00D74B91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Специальные полномочия ПУД</w:t>
            </w:r>
            <w:r>
              <w:rPr>
                <w:rStyle w:val="ae"/>
                <w:rFonts w:ascii="Times New Roman" w:eastAsia="Times New Roman" w:hAnsi="Times New Roman" w:cs="Times New Roman"/>
                <w:b/>
                <w:color w:val="000000"/>
              </w:rPr>
              <w:footnoteReference w:id="1"/>
            </w:r>
          </w:p>
        </w:tc>
      </w:tr>
      <w:tr w:rsidR="00D74B91">
        <w:trPr>
          <w:trHeight w:val="100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всех данных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ПУД_201 ФК. Просмотр всех данных</w:t>
            </w:r>
          </w:p>
        </w:tc>
      </w:tr>
    </w:tbl>
    <w:p w:rsidR="00D74B91" w:rsidRDefault="00D74B91"/>
    <w:p w:rsidR="00D74B91" w:rsidRDefault="00787CA0">
      <w:r>
        <w:t>* - добавлено в текущей версии</w:t>
      </w:r>
    </w:p>
    <w:p w:rsidR="00D74B91" w:rsidRDefault="00D74B91"/>
    <w:sectPr w:rsidR="00D74B91">
      <w:headerReference w:type="default" r:id="rId8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B91" w:rsidRDefault="00787CA0">
      <w:r>
        <w:separator/>
      </w:r>
    </w:p>
  </w:endnote>
  <w:endnote w:type="continuationSeparator" w:id="0">
    <w:p w:rsidR="00D74B91" w:rsidRDefault="00787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B91" w:rsidRDefault="00787CA0">
      <w:r>
        <w:separator/>
      </w:r>
    </w:p>
  </w:footnote>
  <w:footnote w:type="continuationSeparator" w:id="0">
    <w:p w:rsidR="00D74B91" w:rsidRDefault="00787CA0">
      <w:r>
        <w:continuationSeparator/>
      </w:r>
    </w:p>
  </w:footnote>
  <w:footnote w:id="1">
    <w:p w:rsidR="00D74B91" w:rsidRDefault="00787CA0">
      <w:pPr>
        <w:pStyle w:val="ad"/>
      </w:pPr>
      <w:r>
        <w:rPr>
          <w:rStyle w:val="ae"/>
        </w:rPr>
        <w:footnoteRef/>
      </w:r>
      <w:r>
        <w:t xml:space="preserve"> </w:t>
      </w:r>
      <w:r>
        <w:rPr>
          <w:rFonts w:ascii="Segoe UI" w:hAnsi="Segoe UI" w:cs="Segoe UI"/>
          <w:color w:val="000000"/>
          <w:shd w:val="clear" w:color="auto" w:fill="FFFFFF"/>
        </w:rPr>
        <w:t>Назначаются по специальным указаниям Центрального аппарата Федерального казначейства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B91" w:rsidRDefault="00787CA0">
    <w:pPr>
      <w:pStyle w:val="a9"/>
      <w:jc w:val="right"/>
    </w:pPr>
    <w:r>
      <w:rPr>
        <w:sz w:val="16"/>
        <w:szCs w:val="16"/>
      </w:rPr>
      <w:t>Май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F402F"/>
    <w:multiLevelType w:val="hybridMultilevel"/>
    <w:tmpl w:val="09764BE0"/>
    <w:lvl w:ilvl="0" w:tplc="1DA007AA">
      <w:start w:val="1"/>
      <w:numFmt w:val="decimal"/>
      <w:lvlText w:val="%1."/>
      <w:lvlJc w:val="left"/>
      <w:pPr>
        <w:ind w:left="720" w:hanging="360"/>
      </w:pPr>
    </w:lvl>
    <w:lvl w:ilvl="1" w:tplc="42787478">
      <w:start w:val="1"/>
      <w:numFmt w:val="lowerLetter"/>
      <w:lvlText w:val="%2."/>
      <w:lvlJc w:val="left"/>
      <w:pPr>
        <w:ind w:left="1440" w:hanging="360"/>
      </w:pPr>
    </w:lvl>
    <w:lvl w:ilvl="2" w:tplc="A0F8F508">
      <w:start w:val="1"/>
      <w:numFmt w:val="lowerRoman"/>
      <w:lvlText w:val="%3."/>
      <w:lvlJc w:val="right"/>
      <w:pPr>
        <w:ind w:left="2160" w:hanging="180"/>
      </w:pPr>
    </w:lvl>
    <w:lvl w:ilvl="3" w:tplc="FB5A34E6">
      <w:start w:val="1"/>
      <w:numFmt w:val="decimal"/>
      <w:lvlText w:val="%4."/>
      <w:lvlJc w:val="left"/>
      <w:pPr>
        <w:ind w:left="2880" w:hanging="360"/>
      </w:pPr>
    </w:lvl>
    <w:lvl w:ilvl="4" w:tplc="DAB265EC">
      <w:start w:val="1"/>
      <w:numFmt w:val="lowerLetter"/>
      <w:lvlText w:val="%5."/>
      <w:lvlJc w:val="left"/>
      <w:pPr>
        <w:ind w:left="3600" w:hanging="360"/>
      </w:pPr>
    </w:lvl>
    <w:lvl w:ilvl="5" w:tplc="67E40A1C">
      <w:start w:val="1"/>
      <w:numFmt w:val="lowerRoman"/>
      <w:lvlText w:val="%6."/>
      <w:lvlJc w:val="right"/>
      <w:pPr>
        <w:ind w:left="4320" w:hanging="180"/>
      </w:pPr>
    </w:lvl>
    <w:lvl w:ilvl="6" w:tplc="178EEB46">
      <w:start w:val="1"/>
      <w:numFmt w:val="decimal"/>
      <w:lvlText w:val="%7."/>
      <w:lvlJc w:val="left"/>
      <w:pPr>
        <w:ind w:left="5040" w:hanging="360"/>
      </w:pPr>
    </w:lvl>
    <w:lvl w:ilvl="7" w:tplc="72A0F4FE">
      <w:start w:val="1"/>
      <w:numFmt w:val="lowerLetter"/>
      <w:lvlText w:val="%8."/>
      <w:lvlJc w:val="left"/>
      <w:pPr>
        <w:ind w:left="5760" w:hanging="360"/>
      </w:pPr>
    </w:lvl>
    <w:lvl w:ilvl="8" w:tplc="76AC41A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C02E3"/>
    <w:multiLevelType w:val="hybridMultilevel"/>
    <w:tmpl w:val="EF8EB958"/>
    <w:lvl w:ilvl="0" w:tplc="02780DB6">
      <w:start w:val="1"/>
      <w:numFmt w:val="decimal"/>
      <w:lvlText w:val="%1."/>
      <w:lvlJc w:val="left"/>
      <w:pPr>
        <w:ind w:left="720" w:hanging="360"/>
      </w:pPr>
    </w:lvl>
    <w:lvl w:ilvl="1" w:tplc="85BC0EEA">
      <w:start w:val="1"/>
      <w:numFmt w:val="lowerLetter"/>
      <w:lvlText w:val="%2."/>
      <w:lvlJc w:val="left"/>
      <w:pPr>
        <w:ind w:left="1440" w:hanging="360"/>
      </w:pPr>
    </w:lvl>
    <w:lvl w:ilvl="2" w:tplc="A928E8AA">
      <w:start w:val="1"/>
      <w:numFmt w:val="lowerRoman"/>
      <w:lvlText w:val="%3."/>
      <w:lvlJc w:val="right"/>
      <w:pPr>
        <w:ind w:left="2160" w:hanging="180"/>
      </w:pPr>
    </w:lvl>
    <w:lvl w:ilvl="3" w:tplc="876E1A3C">
      <w:start w:val="1"/>
      <w:numFmt w:val="decimal"/>
      <w:lvlText w:val="%4."/>
      <w:lvlJc w:val="left"/>
      <w:pPr>
        <w:ind w:left="2880" w:hanging="360"/>
      </w:pPr>
    </w:lvl>
    <w:lvl w:ilvl="4" w:tplc="CE4A6E7A">
      <w:start w:val="1"/>
      <w:numFmt w:val="lowerLetter"/>
      <w:lvlText w:val="%5."/>
      <w:lvlJc w:val="left"/>
      <w:pPr>
        <w:ind w:left="3600" w:hanging="360"/>
      </w:pPr>
    </w:lvl>
    <w:lvl w:ilvl="5" w:tplc="A5CE75E0">
      <w:start w:val="1"/>
      <w:numFmt w:val="lowerRoman"/>
      <w:lvlText w:val="%6."/>
      <w:lvlJc w:val="right"/>
      <w:pPr>
        <w:ind w:left="4320" w:hanging="180"/>
      </w:pPr>
    </w:lvl>
    <w:lvl w:ilvl="6" w:tplc="919C8956">
      <w:start w:val="1"/>
      <w:numFmt w:val="decimal"/>
      <w:lvlText w:val="%7."/>
      <w:lvlJc w:val="left"/>
      <w:pPr>
        <w:ind w:left="5040" w:hanging="360"/>
      </w:pPr>
    </w:lvl>
    <w:lvl w:ilvl="7" w:tplc="0EBCC606">
      <w:start w:val="1"/>
      <w:numFmt w:val="lowerLetter"/>
      <w:lvlText w:val="%8."/>
      <w:lvlJc w:val="left"/>
      <w:pPr>
        <w:ind w:left="5760" w:hanging="360"/>
      </w:pPr>
    </w:lvl>
    <w:lvl w:ilvl="8" w:tplc="77B85D0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B91"/>
    <w:rsid w:val="00787CA0"/>
    <w:rsid w:val="007965B7"/>
    <w:rsid w:val="009542C6"/>
    <w:rsid w:val="00D74B91"/>
    <w:rsid w:val="00D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60B37C-B42B-44CB-9A46-CE6E1435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a"/>
    <w:uiPriority w:val="9"/>
    <w:semiHidden/>
    <w:unhideWhenUsed/>
    <w:qFormat/>
    <w:pPr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semiHidden/>
    <w:unhideWhenUsed/>
    <w:qFormat/>
    <w:pPr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a"/>
    <w:uiPriority w:val="9"/>
    <w:semiHidden/>
    <w:unhideWhenUsed/>
    <w:qFormat/>
    <w:pPr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a"/>
    <w:uiPriority w:val="9"/>
    <w:semiHidden/>
    <w:unhideWhenUsed/>
    <w:qFormat/>
    <w:pPr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a"/>
    <w:uiPriority w:val="9"/>
    <w:semiHidden/>
    <w:unhideWhenUsed/>
    <w:qFormat/>
    <w:pPr>
      <w:outlineLvl w:val="5"/>
    </w:pPr>
    <w:rPr>
      <w:rFonts w:ascii="Arial" w:eastAsia="Arial" w:hAnsi="Arial" w:cs="Arial"/>
      <w:b/>
    </w:rPr>
  </w:style>
  <w:style w:type="paragraph" w:styleId="7">
    <w:name w:val="heading 7"/>
    <w:basedOn w:val="a"/>
    <w:pPr>
      <w:outlineLvl w:val="6"/>
    </w:pPr>
    <w:rPr>
      <w:rFonts w:ascii="Arial" w:eastAsia="Arial" w:hAnsi="Arial" w:cs="Arial"/>
      <w:b/>
      <w:i/>
    </w:rPr>
  </w:style>
  <w:style w:type="paragraph" w:styleId="8">
    <w:name w:val="heading 8"/>
    <w:basedOn w:val="a"/>
    <w:pPr>
      <w:outlineLvl w:val="7"/>
    </w:pPr>
    <w:rPr>
      <w:rFonts w:ascii="Arial" w:eastAsia="Arial" w:hAnsi="Arial" w:cs="Arial"/>
      <w:i/>
    </w:rPr>
  </w:style>
  <w:style w:type="paragraph" w:styleId="9">
    <w:name w:val="heading 9"/>
    <w:basedOn w:val="a"/>
    <w:pPr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DStyleparagraph">
    <w:name w:val="DStyle_paragraph"/>
  </w:style>
  <w:style w:type="character" w:customStyle="1" w:styleId="DStyletext">
    <w:name w:val="DStyle_text"/>
    <w:rPr>
      <w:rFonts w:ascii="Calibri" w:eastAsia="Calibri" w:hAnsi="Calibri" w:cs="Calibri"/>
      <w:sz w:val="22"/>
      <w:lang w:val="ru-RU"/>
    </w:rPr>
  </w:style>
  <w:style w:type="character" w:customStyle="1" w:styleId="Heading1Char">
    <w:name w:val="Heading 1 Char"/>
    <w:basedOn w:val="a0"/>
    <w:rPr>
      <w:rFonts w:ascii="Arial" w:eastAsia="Arial" w:hAnsi="Arial" w:cs="Arial"/>
      <w:sz w:val="40"/>
    </w:rPr>
  </w:style>
  <w:style w:type="character" w:customStyle="1" w:styleId="Heading2Char">
    <w:name w:val="Heading 2 Char"/>
    <w:basedOn w:val="a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rPr>
      <w:rFonts w:ascii="Arial" w:eastAsia="Arial" w:hAnsi="Arial" w:cs="Arial"/>
      <w:sz w:val="30"/>
    </w:rPr>
  </w:style>
  <w:style w:type="character" w:customStyle="1" w:styleId="Heading4Char">
    <w:name w:val="Heading 4 Char"/>
    <w:basedOn w:val="a0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basedOn w:val="a0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basedOn w:val="a0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basedOn w:val="a0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basedOn w:val="a0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basedOn w:val="a0"/>
    <w:rPr>
      <w:rFonts w:ascii="Arial" w:eastAsia="Arial" w:hAnsi="Arial" w:cs="Arial"/>
      <w:i/>
      <w:sz w:val="21"/>
    </w:rPr>
  </w:style>
  <w:style w:type="paragraph" w:styleId="a4">
    <w:name w:val="List Paragraph"/>
    <w:basedOn w:val="a"/>
    <w:pPr>
      <w:ind w:left="720"/>
    </w:pPr>
  </w:style>
  <w:style w:type="paragraph" w:styleId="a5">
    <w:name w:val="No Spacing"/>
    <w:basedOn w:val="DStyleparagraph"/>
  </w:style>
  <w:style w:type="paragraph" w:styleId="a6">
    <w:name w:val="Title"/>
    <w:basedOn w:val="a"/>
    <w:uiPriority w:val="10"/>
    <w:qFormat/>
    <w:rPr>
      <w:sz w:val="48"/>
    </w:rPr>
  </w:style>
  <w:style w:type="character" w:customStyle="1" w:styleId="TitleChar">
    <w:name w:val="Title Char"/>
    <w:basedOn w:val="a0"/>
    <w:rPr>
      <w:sz w:val="48"/>
    </w:rPr>
  </w:style>
  <w:style w:type="paragraph" w:styleId="a7">
    <w:name w:val="Subtitle"/>
    <w:basedOn w:val="a"/>
    <w:uiPriority w:val="11"/>
    <w:qFormat/>
    <w:rPr>
      <w:sz w:val="24"/>
    </w:rPr>
  </w:style>
  <w:style w:type="character" w:customStyle="1" w:styleId="SubtitleChar">
    <w:name w:val="Subtitle Char"/>
    <w:basedOn w:val="a0"/>
    <w:rPr>
      <w:sz w:val="24"/>
    </w:rPr>
  </w:style>
  <w:style w:type="paragraph" w:styleId="21">
    <w:name w:val="Quote"/>
    <w:basedOn w:val="a"/>
    <w:rPr>
      <w:i/>
    </w:rPr>
  </w:style>
  <w:style w:type="character" w:customStyle="1" w:styleId="QuoteChar">
    <w:name w:val="Quote Char"/>
    <w:rPr>
      <w:i/>
    </w:rPr>
  </w:style>
  <w:style w:type="paragraph" w:styleId="a8">
    <w:name w:val="Intense Quote"/>
    <w:basedOn w:val="a"/>
    <w:rPr>
      <w:i/>
    </w:rPr>
  </w:style>
  <w:style w:type="character" w:customStyle="1" w:styleId="IntenseQuoteChar">
    <w:name w:val="Intense Quote Char"/>
    <w:rPr>
      <w:i/>
    </w:rPr>
  </w:style>
  <w:style w:type="paragraph" w:styleId="a9">
    <w:name w:val="header"/>
    <w:basedOn w:val="a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</w:style>
  <w:style w:type="paragraph" w:styleId="aa">
    <w:name w:val="footer"/>
    <w:basedOn w:val="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</w:style>
  <w:style w:type="paragraph" w:styleId="ab">
    <w:name w:val="caption"/>
    <w:basedOn w:val="a"/>
    <w:rPr>
      <w:b/>
      <w:color w:val="4F81BD"/>
      <w:sz w:val="18"/>
    </w:rPr>
  </w:style>
  <w:style w:type="character" w:customStyle="1" w:styleId="CaptionChar">
    <w:name w:val="Caption Char"/>
  </w:style>
  <w:style w:type="character" w:styleId="ac">
    <w:name w:val="Hyperlink"/>
    <w:rPr>
      <w:color w:val="0000FF"/>
      <w:u w:val="single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Internetlink0">
    <w:name w:val="Internet link"/>
    <w:rPr>
      <w:color w:val="0000FF"/>
      <w:u w:val="single"/>
    </w:rPr>
  </w:style>
  <w:style w:type="paragraph" w:styleId="ad">
    <w:name w:val="footnote text"/>
    <w:basedOn w:val="a"/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e">
    <w:name w:val="footnote reference"/>
    <w:basedOn w:val="a0"/>
    <w:rPr>
      <w:position w:val="0"/>
      <w:vertAlign w:val="superscript"/>
    </w:rPr>
  </w:style>
  <w:style w:type="paragraph" w:styleId="af">
    <w:name w:val="endnote text"/>
    <w:basedOn w:val="a"/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0">
    <w:name w:val="endnote reference"/>
    <w:basedOn w:val="a0"/>
    <w:rPr>
      <w:position w:val="0"/>
      <w:vertAlign w:val="superscript"/>
    </w:rPr>
  </w:style>
  <w:style w:type="paragraph" w:styleId="11">
    <w:name w:val="toc 1"/>
    <w:basedOn w:val="a"/>
    <w:pPr>
      <w:spacing w:after="57"/>
    </w:pPr>
  </w:style>
  <w:style w:type="paragraph" w:styleId="22">
    <w:name w:val="toc 2"/>
    <w:basedOn w:val="a"/>
    <w:pPr>
      <w:spacing w:after="57"/>
      <w:ind w:left="283"/>
    </w:pPr>
  </w:style>
  <w:style w:type="paragraph" w:styleId="31">
    <w:name w:val="toc 3"/>
    <w:basedOn w:val="a"/>
    <w:pPr>
      <w:spacing w:after="57"/>
      <w:ind w:left="567"/>
    </w:pPr>
  </w:style>
  <w:style w:type="paragraph" w:styleId="41">
    <w:name w:val="toc 4"/>
    <w:basedOn w:val="a"/>
    <w:pPr>
      <w:spacing w:after="57"/>
      <w:ind w:left="850"/>
    </w:pPr>
  </w:style>
  <w:style w:type="paragraph" w:styleId="51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styleId="af1">
    <w:name w:val="TOC Heading"/>
    <w:basedOn w:val="DStyleparagraph"/>
  </w:style>
  <w:style w:type="paragraph" w:styleId="af2">
    <w:name w:val="table of figures"/>
    <w:basedOn w:val="a"/>
  </w:style>
  <w:style w:type="paragraph" w:customStyle="1" w:styleId="DStyleparagraph0">
    <w:name w:val="DStyle_paragraph"/>
    <w:basedOn w:val="DStyleparagraph"/>
  </w:style>
  <w:style w:type="character" w:customStyle="1" w:styleId="DStyletext0">
    <w:name w:val="DStyle_text"/>
    <w:rPr>
      <w:rFonts w:ascii="Calibri" w:eastAsia="Calibri" w:hAnsi="Calibri" w:cs="Calibri"/>
      <w:sz w:val="22"/>
      <w:lang w:val="ru-RU"/>
    </w:rPr>
  </w:style>
  <w:style w:type="paragraph" w:customStyle="1" w:styleId="docdata">
    <w:name w:val="docdata"/>
    <w:basedOn w:val="a"/>
    <w:rPr>
      <w:rFonts w:ascii="Times New Roman" w:eastAsia="Times New Roman" w:hAnsi="Times New Roman" w:cs="Times New Roman"/>
      <w:sz w:val="24"/>
    </w:rPr>
  </w:style>
  <w:style w:type="paragraph" w:styleId="af3">
    <w:name w:val="Normal (Web)"/>
    <w:basedOn w:val="a"/>
    <w:rPr>
      <w:rFonts w:ascii="Times New Roman" w:eastAsia="Times New Roman" w:hAnsi="Times New Roman" w:cs="Times New Roman"/>
      <w:sz w:val="24"/>
    </w:rPr>
  </w:style>
  <w:style w:type="character" w:styleId="af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Pr>
      <w:b/>
      <w:bCs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1B379-0BDE-409C-BD56-AA1CD9F2E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Филина Елизавета Олеговна</dc:creator>
  <cp:lastModifiedBy>Иванова Валентина Игоревна</cp:lastModifiedBy>
  <cp:revision>2</cp:revision>
  <dcterms:created xsi:type="dcterms:W3CDTF">2025-12-24T13:43:00Z</dcterms:created>
  <dcterms:modified xsi:type="dcterms:W3CDTF">2025-12-24T13:43:00Z</dcterms:modified>
</cp:coreProperties>
</file>